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5A" w:rsidRDefault="00297F5A" w:rsidP="00297F5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63A26">
        <w:rPr>
          <w:b/>
          <w:color w:val="000000"/>
          <w:sz w:val="28"/>
          <w:szCs w:val="28"/>
        </w:rPr>
        <w:t xml:space="preserve">Учебный план программы </w:t>
      </w:r>
      <w:r w:rsidR="0042367C">
        <w:rPr>
          <w:b/>
          <w:color w:val="000000"/>
          <w:sz w:val="28"/>
          <w:szCs w:val="28"/>
        </w:rPr>
        <w:t>повышения квалификации</w:t>
      </w:r>
    </w:p>
    <w:p w:rsidR="00297F5A" w:rsidRDefault="00297F5A" w:rsidP="00297F5A">
      <w:pPr>
        <w:pStyle w:val="Style6"/>
        <w:widowControl/>
        <w:jc w:val="center"/>
        <w:rPr>
          <w:b/>
          <w:sz w:val="28"/>
          <w:szCs w:val="28"/>
        </w:rPr>
      </w:pPr>
      <w:r w:rsidRPr="00563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Строительный контроль</w:t>
      </w:r>
      <w:r w:rsidRPr="00563A26">
        <w:rPr>
          <w:b/>
          <w:sz w:val="28"/>
          <w:szCs w:val="28"/>
        </w:rPr>
        <w:t>»</w:t>
      </w:r>
    </w:p>
    <w:p w:rsidR="00297F5A" w:rsidRDefault="00297F5A" w:rsidP="00297F5A">
      <w:pPr>
        <w:pStyle w:val="Style6"/>
        <w:widowControl/>
        <w:jc w:val="center"/>
        <w:rPr>
          <w:b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0"/>
        <w:gridCol w:w="4256"/>
        <w:gridCol w:w="848"/>
        <w:gridCol w:w="572"/>
        <w:gridCol w:w="826"/>
        <w:gridCol w:w="1245"/>
        <w:gridCol w:w="10"/>
        <w:gridCol w:w="893"/>
        <w:gridCol w:w="987"/>
      </w:tblGrid>
      <w:tr w:rsidR="005F2519" w:rsidRPr="00445E3D" w:rsidTr="008220FC">
        <w:trPr>
          <w:trHeight w:val="411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5F2519" w:rsidRPr="00445E3D" w:rsidRDefault="005F2519" w:rsidP="00E5738C">
            <w:pPr>
              <w:ind w:right="-108"/>
              <w:jc w:val="center"/>
              <w:rPr>
                <w:szCs w:val="22"/>
              </w:rPr>
            </w:pPr>
            <w:r w:rsidRPr="00445E3D">
              <w:rPr>
                <w:sz w:val="22"/>
                <w:szCs w:val="22"/>
              </w:rPr>
              <w:t>№ п/п</w:t>
            </w:r>
          </w:p>
        </w:tc>
        <w:tc>
          <w:tcPr>
            <w:tcW w:w="2102" w:type="pct"/>
            <w:gridSpan w:val="2"/>
            <w:vMerge w:val="restar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  <w:rPr>
                <w:lang w:val="en-US"/>
              </w:rPr>
            </w:pPr>
            <w:r w:rsidRPr="006E588C">
              <w:t>Наименование дисциплин**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  <w:r w:rsidRPr="006E588C">
              <w:t>Трудоемкость</w:t>
            </w:r>
          </w:p>
        </w:tc>
        <w:tc>
          <w:tcPr>
            <w:tcW w:w="1304" w:type="pct"/>
            <w:gridSpan w:val="4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  <w:r w:rsidRPr="006E588C">
              <w:t>Объем аудиторных часов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F2519" w:rsidRPr="006E588C" w:rsidRDefault="005F2519" w:rsidP="00E5738C">
            <w:pPr>
              <w:ind w:left="-108"/>
              <w:jc w:val="center"/>
            </w:pPr>
            <w:r w:rsidRPr="006E588C">
              <w:t>самостоятельная работа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F2519" w:rsidRPr="006E588C" w:rsidRDefault="005F2519" w:rsidP="00E5738C">
            <w:pPr>
              <w:ind w:left="-108"/>
              <w:jc w:val="center"/>
            </w:pPr>
            <w:proofErr w:type="gramStart"/>
            <w:r w:rsidRPr="006E588C">
              <w:t>Форма  итогового</w:t>
            </w:r>
            <w:proofErr w:type="gramEnd"/>
          </w:p>
          <w:p w:rsidR="005F2519" w:rsidRPr="006E588C" w:rsidRDefault="005F2519" w:rsidP="00E5738C">
            <w:pPr>
              <w:ind w:left="-108"/>
              <w:jc w:val="center"/>
            </w:pPr>
            <w:r w:rsidRPr="006E588C">
              <w:t>контроля</w:t>
            </w:r>
          </w:p>
        </w:tc>
      </w:tr>
      <w:tr w:rsidR="005F2519" w:rsidRPr="00445E3D" w:rsidTr="008220FC">
        <w:trPr>
          <w:trHeight w:val="831"/>
        </w:trPr>
        <w:tc>
          <w:tcPr>
            <w:tcW w:w="253" w:type="pct"/>
            <w:vMerge/>
            <w:shd w:val="clear" w:color="auto" w:fill="auto"/>
          </w:tcPr>
          <w:p w:rsidR="005F2519" w:rsidRPr="00445E3D" w:rsidRDefault="005F2519" w:rsidP="00E5738C">
            <w:pPr>
              <w:ind w:right="-108"/>
            </w:pPr>
          </w:p>
        </w:tc>
        <w:tc>
          <w:tcPr>
            <w:tcW w:w="2102" w:type="pct"/>
            <w:gridSpan w:val="2"/>
            <w:vMerge/>
            <w:shd w:val="clear" w:color="auto" w:fill="auto"/>
          </w:tcPr>
          <w:p w:rsidR="005F2519" w:rsidRPr="006E588C" w:rsidRDefault="005F2519" w:rsidP="00E5738C"/>
        </w:tc>
        <w:tc>
          <w:tcPr>
            <w:tcW w:w="417" w:type="pct"/>
            <w:vMerge/>
            <w:shd w:val="clear" w:color="auto" w:fill="auto"/>
            <w:vAlign w:val="center"/>
          </w:tcPr>
          <w:p w:rsidR="005F2519" w:rsidRPr="006E588C" w:rsidRDefault="005F2519" w:rsidP="00E5738C">
            <w:pPr>
              <w:ind w:left="-108"/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F2519" w:rsidRPr="006E588C" w:rsidRDefault="005F2519" w:rsidP="00E5738C">
            <w:pPr>
              <w:ind w:left="-108" w:right="-109"/>
              <w:jc w:val="center"/>
            </w:pPr>
            <w:r w:rsidRPr="006E588C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519" w:rsidRPr="006E588C" w:rsidRDefault="005F2519" w:rsidP="00E5738C">
            <w:pPr>
              <w:ind w:left="-108"/>
              <w:jc w:val="center"/>
            </w:pPr>
            <w:r w:rsidRPr="006E588C">
              <w:t>лекции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F2519" w:rsidRPr="006E588C" w:rsidRDefault="005F2519" w:rsidP="00E5738C">
            <w:pPr>
              <w:ind w:left="-109"/>
              <w:jc w:val="center"/>
            </w:pPr>
            <w:r w:rsidRPr="006E588C">
              <w:t>семинары</w:t>
            </w:r>
          </w:p>
          <w:p w:rsidR="005F2519" w:rsidRPr="006E588C" w:rsidRDefault="005F2519" w:rsidP="00E5738C">
            <w:pPr>
              <w:ind w:left="-109"/>
              <w:jc w:val="center"/>
            </w:pPr>
            <w:r w:rsidRPr="006E588C">
              <w:t>практические занятия</w:t>
            </w:r>
          </w:p>
          <w:p w:rsidR="005F2519" w:rsidRPr="006E588C" w:rsidRDefault="005F2519" w:rsidP="00E5738C">
            <w:pPr>
              <w:jc w:val="center"/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F2519" w:rsidRPr="006E588C" w:rsidRDefault="005F2519" w:rsidP="00E5738C"/>
        </w:tc>
        <w:tc>
          <w:tcPr>
            <w:tcW w:w="485" w:type="pct"/>
            <w:shd w:val="clear" w:color="auto" w:fill="auto"/>
            <w:vAlign w:val="center"/>
          </w:tcPr>
          <w:p w:rsidR="005F2519" w:rsidRPr="006E588C" w:rsidRDefault="005F2519" w:rsidP="00E5738C"/>
        </w:tc>
      </w:tr>
      <w:tr w:rsidR="005F2519" w:rsidRPr="00445E3D" w:rsidTr="008220FC">
        <w:trPr>
          <w:trHeight w:val="286"/>
        </w:trPr>
        <w:tc>
          <w:tcPr>
            <w:tcW w:w="253" w:type="pct"/>
            <w:shd w:val="clear" w:color="auto" w:fill="auto"/>
          </w:tcPr>
          <w:p w:rsidR="005F2519" w:rsidRPr="00445E3D" w:rsidRDefault="005F2519" w:rsidP="00E5738C">
            <w:pPr>
              <w:ind w:right="-108"/>
              <w:jc w:val="center"/>
            </w:pPr>
            <w:r w:rsidRPr="00445E3D">
              <w:rPr>
                <w:sz w:val="22"/>
              </w:rPr>
              <w:t>1</w:t>
            </w:r>
          </w:p>
        </w:tc>
        <w:tc>
          <w:tcPr>
            <w:tcW w:w="2102" w:type="pct"/>
            <w:gridSpan w:val="2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  <w:r w:rsidRPr="006E588C"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  <w:r w:rsidRPr="006E588C">
              <w:t>3</w:t>
            </w:r>
          </w:p>
          <w:p w:rsidR="005F2519" w:rsidRPr="006E588C" w:rsidRDefault="005F2519" w:rsidP="00E5738C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F2519" w:rsidRPr="005F2519" w:rsidRDefault="005F2519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519" w:rsidRPr="005F2519" w:rsidRDefault="005F2519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F2519" w:rsidRPr="005F2519" w:rsidRDefault="005F2519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F2519" w:rsidRPr="005F2519" w:rsidRDefault="005F2519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F2519" w:rsidRPr="005F2519" w:rsidRDefault="005F2519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F2519" w:rsidRPr="00445E3D" w:rsidTr="008220FC">
        <w:trPr>
          <w:trHeight w:val="331"/>
        </w:trPr>
        <w:tc>
          <w:tcPr>
            <w:tcW w:w="253" w:type="pct"/>
            <w:shd w:val="clear" w:color="auto" w:fill="auto"/>
          </w:tcPr>
          <w:p w:rsidR="005F2519" w:rsidRPr="00445E3D" w:rsidRDefault="005F2519" w:rsidP="00297F5A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2102" w:type="pct"/>
            <w:gridSpan w:val="2"/>
            <w:shd w:val="clear" w:color="auto" w:fill="auto"/>
            <w:vAlign w:val="center"/>
          </w:tcPr>
          <w:p w:rsidR="005F2519" w:rsidRDefault="005F2519" w:rsidP="005F2519">
            <w:pPr>
              <w:ind w:firstLine="335"/>
            </w:pPr>
            <w:r>
              <w:t>Законодательное и нормативно-техническое обеспечение градостроительной деятельности.</w:t>
            </w:r>
          </w:p>
          <w:p w:rsidR="005F2519" w:rsidRDefault="005F2519" w:rsidP="005F2519">
            <w:pPr>
              <w:ind w:firstLine="335"/>
            </w:pPr>
            <w:r>
              <w:t xml:space="preserve">Взаимодействие участников инвестиционно-строительной деятельности. </w:t>
            </w:r>
          </w:p>
          <w:p w:rsidR="005F2519" w:rsidRDefault="005F2519" w:rsidP="005F2519">
            <w:pPr>
              <w:ind w:firstLine="335"/>
            </w:pPr>
            <w:r>
              <w:t>Технический заказчик, функции и взаимоотношения с застройщиком, авторским надзором, строительным контролем и лицами, осуществляющими строительство.</w:t>
            </w:r>
            <w:r>
              <w:t xml:space="preserve"> </w:t>
            </w:r>
          </w:p>
          <w:p w:rsidR="005F2519" w:rsidRPr="006E588C" w:rsidRDefault="005F2519" w:rsidP="005F2519">
            <w:pPr>
              <w:ind w:firstLine="335"/>
            </w:pPr>
            <w:r w:rsidRPr="00595F0D">
              <w:t>Саморегулирование в строительстве.  Виды саморегулируемых организаций в строительстве.  Право члена саморегулируемой организации выполнять работы.  Контроль саморегулируемых организаций за деятельностью своих членов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F2519" w:rsidRPr="008220FC" w:rsidRDefault="005F2519" w:rsidP="00E5738C">
            <w:pPr>
              <w:jc w:val="center"/>
              <w:rPr>
                <w:lang w:val="en-US"/>
              </w:rPr>
            </w:pPr>
            <w:r w:rsidRPr="008220FC">
              <w:t>1</w:t>
            </w:r>
            <w:r w:rsidR="0019402C" w:rsidRPr="008220FC">
              <w:rPr>
                <w:lang w:val="en-US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F2519" w:rsidRPr="008220FC" w:rsidRDefault="005F2519" w:rsidP="00E5738C">
            <w:pPr>
              <w:jc w:val="center"/>
            </w:pPr>
            <w:r w:rsidRPr="008220FC"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519" w:rsidRPr="008220FC" w:rsidRDefault="005F2519" w:rsidP="00E5738C">
            <w:pPr>
              <w:jc w:val="center"/>
            </w:pPr>
            <w:r w:rsidRPr="008220FC">
              <w:t>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F2519" w:rsidRPr="008220FC" w:rsidRDefault="005F2519" w:rsidP="00E5738C">
            <w:pPr>
              <w:jc w:val="center"/>
            </w:pPr>
            <w:r w:rsidRPr="008220FC">
              <w:t>2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F2519" w:rsidRPr="008220FC" w:rsidRDefault="008220FC" w:rsidP="00E5738C">
            <w:pPr>
              <w:jc w:val="center"/>
              <w:rPr>
                <w:lang w:val="en-US"/>
              </w:rPr>
            </w:pPr>
            <w:r w:rsidRPr="008220FC">
              <w:rPr>
                <w:lang w:val="en-US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</w:tr>
      <w:tr w:rsidR="005F2519" w:rsidRPr="00445E3D" w:rsidTr="008220FC">
        <w:trPr>
          <w:trHeight w:val="331"/>
        </w:trPr>
        <w:tc>
          <w:tcPr>
            <w:tcW w:w="253" w:type="pct"/>
            <w:shd w:val="clear" w:color="auto" w:fill="auto"/>
          </w:tcPr>
          <w:p w:rsidR="005F2519" w:rsidRPr="00445E3D" w:rsidRDefault="005F2519" w:rsidP="00297F5A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2102" w:type="pct"/>
            <w:gridSpan w:val="2"/>
            <w:shd w:val="clear" w:color="auto" w:fill="auto"/>
            <w:vAlign w:val="center"/>
          </w:tcPr>
          <w:p w:rsidR="005F2519" w:rsidRPr="006E588C" w:rsidRDefault="005F2519" w:rsidP="005F2519">
            <w:pPr>
              <w:ind w:firstLine="335"/>
              <w:rPr>
                <w:rFonts w:eastAsia="Calibri"/>
              </w:rPr>
            </w:pPr>
            <w:r w:rsidRPr="00595F0D">
              <w:rPr>
                <w:rFonts w:eastAsia="Calibri"/>
              </w:rPr>
              <w:t>Виды ответственности участников градостроительной деятельности за нарушение градостроительного законодательства.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F2519" w:rsidRPr="008220FC" w:rsidRDefault="005F2519" w:rsidP="00E5738C">
            <w:pPr>
              <w:jc w:val="center"/>
              <w:rPr>
                <w:lang w:val="en-US"/>
              </w:rPr>
            </w:pPr>
            <w:r w:rsidRPr="008220FC">
              <w:t>1</w:t>
            </w:r>
            <w:r w:rsidR="0019402C" w:rsidRPr="008220FC">
              <w:rPr>
                <w:lang w:val="en-US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F2519" w:rsidRPr="008220FC" w:rsidRDefault="00AD3657" w:rsidP="00E5738C">
            <w:pPr>
              <w:jc w:val="center"/>
              <w:rPr>
                <w:lang w:val="en-US"/>
              </w:rPr>
            </w:pPr>
            <w:r w:rsidRPr="008220FC">
              <w:rPr>
                <w:lang w:val="en-US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519" w:rsidRPr="008220FC" w:rsidRDefault="005F2519" w:rsidP="00E5738C">
            <w:pPr>
              <w:jc w:val="center"/>
            </w:pPr>
            <w:r w:rsidRPr="008220FC">
              <w:t>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F2519" w:rsidRPr="008220FC" w:rsidRDefault="005F2519" w:rsidP="00E5738C">
            <w:pPr>
              <w:jc w:val="center"/>
              <w:rPr>
                <w:lang w:val="en-US"/>
              </w:rPr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F2519" w:rsidRPr="008220FC" w:rsidRDefault="008220FC" w:rsidP="00E5738C">
            <w:pPr>
              <w:jc w:val="center"/>
              <w:rPr>
                <w:lang w:val="en-US"/>
              </w:rPr>
            </w:pPr>
            <w:r w:rsidRPr="008220FC">
              <w:rPr>
                <w:lang w:val="en-US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</w:tr>
      <w:tr w:rsidR="005F2519" w:rsidRPr="00445E3D" w:rsidTr="008220FC">
        <w:trPr>
          <w:trHeight w:val="331"/>
        </w:trPr>
        <w:tc>
          <w:tcPr>
            <w:tcW w:w="253" w:type="pct"/>
            <w:shd w:val="clear" w:color="auto" w:fill="auto"/>
          </w:tcPr>
          <w:p w:rsidR="005F2519" w:rsidRPr="00445E3D" w:rsidRDefault="005F2519" w:rsidP="00297F5A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2102" w:type="pct"/>
            <w:gridSpan w:val="2"/>
            <w:shd w:val="clear" w:color="auto" w:fill="auto"/>
            <w:vAlign w:val="center"/>
          </w:tcPr>
          <w:p w:rsidR="005F2519" w:rsidRPr="006E588C" w:rsidRDefault="005F2519" w:rsidP="005F2519">
            <w:pPr>
              <w:ind w:firstLine="335"/>
              <w:rPr>
                <w:rFonts w:eastAsia="Calibri"/>
              </w:rPr>
            </w:pPr>
            <w:r w:rsidRPr="00595F0D">
              <w:rPr>
                <w:rFonts w:eastAsia="Calibri"/>
              </w:rPr>
              <w:t>Требования к проектной документации Порядок утверждения проектной документации.  Экспертиза проектной документации.  Единый государственный реестр заключений экспертизы проектной документации объектов капитального строительства.  Рабочая документация.  Внесение изменений в проектную документацию.  Проектное и экспертное сопровождение.  Авторский надзор.  Отличие авторского надзора от проектного и экспертного сопровождения.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F2519" w:rsidRPr="008220FC" w:rsidRDefault="005F2519" w:rsidP="00E5738C">
            <w:pPr>
              <w:jc w:val="center"/>
            </w:pPr>
            <w:r w:rsidRPr="008220FC">
              <w:t>12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F2519" w:rsidRPr="008220FC" w:rsidRDefault="005F2519" w:rsidP="00E5738C">
            <w:pPr>
              <w:jc w:val="center"/>
              <w:rPr>
                <w:lang w:val="en-US"/>
              </w:rPr>
            </w:pPr>
            <w:r w:rsidRPr="008220FC">
              <w:rPr>
                <w:lang w:val="en-US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519" w:rsidRPr="008220FC" w:rsidRDefault="005F2519" w:rsidP="00E5738C">
            <w:pPr>
              <w:jc w:val="center"/>
              <w:rPr>
                <w:lang w:val="en-US"/>
              </w:rPr>
            </w:pPr>
            <w:r w:rsidRPr="008220FC">
              <w:rPr>
                <w:lang w:val="en-US"/>
              </w:rPr>
              <w:t>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F2519" w:rsidRPr="008220FC" w:rsidRDefault="005F2519" w:rsidP="00E5738C">
            <w:pPr>
              <w:jc w:val="center"/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F2519" w:rsidRPr="008220FC" w:rsidRDefault="008220FC" w:rsidP="00E5738C">
            <w:pPr>
              <w:jc w:val="center"/>
              <w:rPr>
                <w:lang w:val="en-US"/>
              </w:rPr>
            </w:pPr>
            <w:r w:rsidRPr="008220FC">
              <w:rPr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485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</w:tr>
      <w:tr w:rsidR="005F2519" w:rsidRPr="00445E3D" w:rsidTr="008220FC">
        <w:trPr>
          <w:trHeight w:val="331"/>
        </w:trPr>
        <w:tc>
          <w:tcPr>
            <w:tcW w:w="253" w:type="pct"/>
            <w:shd w:val="clear" w:color="auto" w:fill="auto"/>
          </w:tcPr>
          <w:p w:rsidR="005F2519" w:rsidRPr="00445E3D" w:rsidRDefault="005F2519" w:rsidP="00297F5A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2102" w:type="pct"/>
            <w:gridSpan w:val="2"/>
            <w:shd w:val="clear" w:color="auto" w:fill="auto"/>
            <w:vAlign w:val="center"/>
          </w:tcPr>
          <w:p w:rsidR="005F2519" w:rsidRDefault="005F2519" w:rsidP="005F2519">
            <w:pPr>
              <w:ind w:firstLine="335"/>
            </w:pPr>
            <w:r>
              <w:t xml:space="preserve">Организация строительства.  (Разрешительная документация.  Организационно-технологическая документация.  Организация строительной площадки). </w:t>
            </w:r>
          </w:p>
          <w:p w:rsidR="005F2519" w:rsidRDefault="005F2519" w:rsidP="005F2519">
            <w:pPr>
              <w:ind w:firstLine="335"/>
            </w:pPr>
            <w:r>
              <w:t>Организация и порядок проведения строительного контроля</w:t>
            </w:r>
            <w:r w:rsidR="0096434F" w:rsidRPr="0096434F">
              <w:t xml:space="preserve">. </w:t>
            </w:r>
            <w:r>
              <w:t xml:space="preserve">(Предмет строительного контроля, Строительный контроль подрядчика, Строительный контроль заказчика, Оформление результатов строительного контроля, Затраты на проведение строительного контроля, Требования к квалификации инженеров строительного контроля, Основные проблемы и нарушения при организации и проведении строительного контроля).  </w:t>
            </w:r>
          </w:p>
          <w:p w:rsidR="005F2519" w:rsidRDefault="005F2519" w:rsidP="005F2519">
            <w:pPr>
              <w:ind w:firstLine="335"/>
            </w:pPr>
            <w:r>
              <w:t>Порядок освидетельствования основных видов работ.</w:t>
            </w:r>
          </w:p>
          <w:p w:rsidR="005F2519" w:rsidRDefault="005F2519" w:rsidP="005F2519">
            <w:pPr>
              <w:ind w:firstLine="335"/>
            </w:pPr>
            <w:r>
              <w:t xml:space="preserve">Подготовка исполнительной документации </w:t>
            </w:r>
            <w:r>
              <w:lastRenderedPageBreak/>
              <w:t>и её электронный вариант (Нормативная документация, определяющая порядок ведения исполнительной документации, Требования к составу исполнительной документации, Порядок оформления актов освидетельствования скрытых работ, Порядок ведения общего и специальных журналов работ, Порядок проверки исполнительной документации).</w:t>
            </w:r>
          </w:p>
          <w:p w:rsidR="005F2519" w:rsidRDefault="005F2519" w:rsidP="005F2519">
            <w:pPr>
              <w:ind w:firstLine="335"/>
            </w:pPr>
            <w:r>
              <w:t>Лабораторный контроль в рамках проведения строительного контроля (Порядок вызова инженера-лаборанта.  Оборудование неразрушающего контроля.  Оформление результатов лабораторного контроля.)</w:t>
            </w:r>
          </w:p>
          <w:p w:rsidR="005F2519" w:rsidRPr="006E588C" w:rsidRDefault="005F2519" w:rsidP="005F2519">
            <w:pPr>
              <w:ind w:firstLine="335"/>
            </w:pPr>
            <w:r>
              <w:t>Геодезический контроль (Основные виды оборудования</w:t>
            </w:r>
            <w:r w:rsidR="0096434F">
              <w:t>.</w:t>
            </w:r>
            <w:r>
              <w:t xml:space="preserve"> Порядок вызова инженера-геодезиста на объект</w:t>
            </w:r>
            <w:r w:rsidR="0096434F">
              <w:t>.</w:t>
            </w:r>
            <w:r>
              <w:t xml:space="preserve"> Требования к оформлению исполнительных геодезических схем. Примеры оформления схем)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F2519" w:rsidRPr="0019402C" w:rsidRDefault="005F2519" w:rsidP="00E5738C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 w:rsidR="0019402C">
              <w:rPr>
                <w:lang w:val="en-US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F2519" w:rsidRPr="00AD3657" w:rsidRDefault="00AD3657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519" w:rsidRPr="00AD3657" w:rsidRDefault="00AD3657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F2519" w:rsidRPr="00AD3657" w:rsidRDefault="00AD3657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F2519" w:rsidRPr="008220FC" w:rsidRDefault="008220FC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</w:tr>
      <w:tr w:rsidR="005F2519" w:rsidRPr="00445E3D" w:rsidTr="008220FC">
        <w:trPr>
          <w:trHeight w:val="331"/>
        </w:trPr>
        <w:tc>
          <w:tcPr>
            <w:tcW w:w="253" w:type="pct"/>
            <w:shd w:val="clear" w:color="auto" w:fill="auto"/>
          </w:tcPr>
          <w:p w:rsidR="005F2519" w:rsidRPr="00445E3D" w:rsidRDefault="005F2519" w:rsidP="00297F5A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2102" w:type="pct"/>
            <w:gridSpan w:val="2"/>
            <w:shd w:val="clear" w:color="auto" w:fill="auto"/>
            <w:vAlign w:val="center"/>
          </w:tcPr>
          <w:p w:rsidR="005F2519" w:rsidRDefault="005F2519" w:rsidP="005F2519">
            <w:pPr>
              <w:ind w:firstLine="335"/>
            </w:pPr>
            <w:r w:rsidRPr="00595F0D">
              <w:t>Охрана труда в строительстве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F2519" w:rsidRDefault="0096434F" w:rsidP="00E5738C">
            <w:pPr>
              <w:jc w:val="center"/>
            </w:pPr>
            <w: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F2519" w:rsidRPr="00AD3657" w:rsidRDefault="00AD3657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519" w:rsidRPr="00AD3657" w:rsidRDefault="00AD3657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F2519" w:rsidRDefault="005F2519" w:rsidP="00E5738C">
            <w:pPr>
              <w:jc w:val="center"/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F2519" w:rsidRPr="00AD3657" w:rsidRDefault="00AD3657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</w:tr>
      <w:tr w:rsidR="005F2519" w:rsidRPr="00445E3D" w:rsidTr="008220FC">
        <w:trPr>
          <w:trHeight w:val="331"/>
        </w:trPr>
        <w:tc>
          <w:tcPr>
            <w:tcW w:w="253" w:type="pct"/>
            <w:shd w:val="clear" w:color="auto" w:fill="auto"/>
          </w:tcPr>
          <w:p w:rsidR="005F2519" w:rsidRPr="00445E3D" w:rsidRDefault="005F2519" w:rsidP="00297F5A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2102" w:type="pct"/>
            <w:gridSpan w:val="2"/>
            <w:shd w:val="clear" w:color="auto" w:fill="auto"/>
            <w:vAlign w:val="center"/>
          </w:tcPr>
          <w:p w:rsidR="005F2519" w:rsidRPr="00595F0D" w:rsidRDefault="005F2519" w:rsidP="005F2519">
            <w:pPr>
              <w:ind w:firstLine="335"/>
            </w:pPr>
            <w:r w:rsidRPr="00595F0D">
              <w:t>Заключение договоров в строительстве о выполнении инженерных изысканий на подготовку проектной документации, экспертизу, авторский надзор, строительный контроль, генподряд, поставщики материалов и оборудования, ведение бухгалтерского учета.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F2519" w:rsidRPr="0019402C" w:rsidRDefault="008220FC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F2519" w:rsidRPr="00AD3657" w:rsidRDefault="00AD3657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519" w:rsidRPr="00AD3657" w:rsidRDefault="00AD3657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F2519" w:rsidRDefault="005F2519" w:rsidP="00E5738C">
            <w:pPr>
              <w:jc w:val="center"/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F2519" w:rsidRPr="008220FC" w:rsidRDefault="008220FC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</w:tr>
      <w:tr w:rsidR="005F2519" w:rsidRPr="00445E3D" w:rsidTr="008220FC">
        <w:trPr>
          <w:trHeight w:val="331"/>
        </w:trPr>
        <w:tc>
          <w:tcPr>
            <w:tcW w:w="253" w:type="pct"/>
            <w:shd w:val="clear" w:color="auto" w:fill="auto"/>
          </w:tcPr>
          <w:p w:rsidR="005F2519" w:rsidRPr="00445E3D" w:rsidRDefault="005F2519" w:rsidP="00297F5A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2102" w:type="pct"/>
            <w:gridSpan w:val="2"/>
            <w:shd w:val="clear" w:color="auto" w:fill="auto"/>
            <w:vAlign w:val="center"/>
          </w:tcPr>
          <w:p w:rsidR="005F2519" w:rsidRDefault="005F2519" w:rsidP="005F2519">
            <w:pPr>
              <w:ind w:firstLine="335"/>
            </w:pPr>
            <w:r>
              <w:t>Новый порядок осуществления Государственного строительного надзора при строительстве и реконструкции объектов капитального строительства.</w:t>
            </w:r>
          </w:p>
          <w:p w:rsidR="005F2519" w:rsidRDefault="005F2519" w:rsidP="005F2519">
            <w:pPr>
              <w:ind w:firstLine="335"/>
            </w:pPr>
            <w:r>
              <w:t>Предмет ГСН.  Виды ГСН.  Порядок осуществления ГСН.  Надзор за проведением строительного контроля.</w:t>
            </w:r>
          </w:p>
          <w:p w:rsidR="005F2519" w:rsidRDefault="005F2519" w:rsidP="005F2519">
            <w:pPr>
              <w:ind w:firstLine="335"/>
            </w:pPr>
            <w:r>
              <w:t xml:space="preserve">Защита прав субъектов инвестиционно-строительной деятельности при проведении проверок органами ГСН.  Порядок выдачи заключения о соответствии построенного объекта капитального строительства требованиям проектной документации. </w:t>
            </w:r>
          </w:p>
          <w:p w:rsidR="005F2519" w:rsidRPr="00595F0D" w:rsidRDefault="005F2519" w:rsidP="005F2519">
            <w:pPr>
              <w:ind w:firstLine="335"/>
            </w:pPr>
            <w:r>
              <w:t>Подготовка документации на ввод объекта капитального строительства в эксплуатацию.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F2519" w:rsidRPr="008220FC" w:rsidRDefault="008220FC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F2519" w:rsidRPr="00AD3657" w:rsidRDefault="00AD3657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519" w:rsidRPr="00AD3657" w:rsidRDefault="00AD3657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F2519" w:rsidRPr="00AD3657" w:rsidRDefault="00AD3657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F2519" w:rsidRPr="008220FC" w:rsidRDefault="008220FC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</w:tr>
      <w:tr w:rsidR="005F2519" w:rsidRPr="00445E3D" w:rsidTr="008220FC">
        <w:trPr>
          <w:trHeight w:val="331"/>
        </w:trPr>
        <w:tc>
          <w:tcPr>
            <w:tcW w:w="253" w:type="pct"/>
            <w:shd w:val="clear" w:color="auto" w:fill="auto"/>
          </w:tcPr>
          <w:p w:rsidR="005F2519" w:rsidRPr="00445E3D" w:rsidRDefault="005F2519" w:rsidP="00297F5A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2102" w:type="pct"/>
            <w:gridSpan w:val="2"/>
            <w:shd w:val="clear" w:color="auto" w:fill="auto"/>
            <w:vAlign w:val="center"/>
          </w:tcPr>
          <w:p w:rsidR="005F2519" w:rsidRDefault="005F2519" w:rsidP="005F2519">
            <w:pPr>
              <w:ind w:firstLine="335"/>
            </w:pPr>
            <w:r>
              <w:t>Организация электронного взаимодействия участников процесса строительства. Современные методы и средства проведения строительного контроля и мониторинга. Внедрение цифровых технологий при осуществлении функций «строительного контроля». Цифровые инструменты контроля (виды и способы применения, оценка эффективности.</w:t>
            </w:r>
          </w:p>
          <w:p w:rsidR="005F2519" w:rsidRPr="00DD219F" w:rsidRDefault="005F2519" w:rsidP="005F2519">
            <w:pPr>
              <w:ind w:firstLine="335"/>
              <w:rPr>
                <w:lang w:val="en-US"/>
              </w:rPr>
            </w:pPr>
            <w:r>
              <w:t>Опыт ФАУ «РосКапСтрой»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F2519" w:rsidRPr="008220FC" w:rsidRDefault="008220FC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F2519" w:rsidRPr="00AD3657" w:rsidRDefault="00AD3657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519" w:rsidRDefault="0096434F" w:rsidP="00E5738C">
            <w:pPr>
              <w:jc w:val="center"/>
            </w:pPr>
            <w:r>
              <w:t>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F2519" w:rsidRDefault="005F2519" w:rsidP="00E5738C">
            <w:pPr>
              <w:jc w:val="center"/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F2519" w:rsidRPr="008220FC" w:rsidRDefault="008220FC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</w:tr>
      <w:tr w:rsidR="005F2519" w:rsidRPr="00445E3D" w:rsidTr="008220FC">
        <w:trPr>
          <w:trHeight w:val="331"/>
        </w:trPr>
        <w:tc>
          <w:tcPr>
            <w:tcW w:w="263" w:type="pct"/>
            <w:gridSpan w:val="2"/>
            <w:shd w:val="clear" w:color="auto" w:fill="auto"/>
          </w:tcPr>
          <w:p w:rsidR="005F2519" w:rsidRPr="00445E3D" w:rsidRDefault="005F2519" w:rsidP="00297F5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091" w:type="pct"/>
            <w:shd w:val="clear" w:color="auto" w:fill="auto"/>
          </w:tcPr>
          <w:p w:rsidR="005F2519" w:rsidRPr="006E588C" w:rsidRDefault="005F2519" w:rsidP="00E5738C">
            <w:pPr>
              <w:ind w:firstLine="13"/>
            </w:pPr>
            <w:r w:rsidRPr="006E588C">
              <w:t>Круглый стол. Свободная дискуссия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  <w:r w:rsidRPr="006E588C"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  <w:r w:rsidRPr="006E588C"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  <w:r w:rsidRPr="006E588C">
              <w:t>2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</w:tr>
      <w:tr w:rsidR="005F2519" w:rsidRPr="00445E3D" w:rsidTr="008220FC">
        <w:trPr>
          <w:trHeight w:val="331"/>
        </w:trPr>
        <w:tc>
          <w:tcPr>
            <w:tcW w:w="263" w:type="pct"/>
            <w:gridSpan w:val="2"/>
            <w:shd w:val="clear" w:color="auto" w:fill="auto"/>
          </w:tcPr>
          <w:p w:rsidR="005F2519" w:rsidRPr="00445E3D" w:rsidRDefault="005F2519" w:rsidP="00297F5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091" w:type="pct"/>
            <w:shd w:val="clear" w:color="auto" w:fill="auto"/>
          </w:tcPr>
          <w:p w:rsidR="005F2519" w:rsidRPr="006E588C" w:rsidRDefault="005F2519" w:rsidP="00E5738C">
            <w:pPr>
              <w:ind w:firstLine="13"/>
            </w:pPr>
            <w:r w:rsidRPr="006E588C">
              <w:t>Итоговая аттестация: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  <w:r w:rsidRPr="006E588C"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  <w:r w:rsidRPr="006E588C"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  <w:r w:rsidRPr="006E588C">
              <w:t>2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  <w:r w:rsidRPr="006E588C">
              <w:t>зачет*</w:t>
            </w:r>
          </w:p>
        </w:tc>
      </w:tr>
      <w:tr w:rsidR="005F2519" w:rsidRPr="00445E3D" w:rsidTr="008220FC">
        <w:trPr>
          <w:trHeight w:val="331"/>
        </w:trPr>
        <w:tc>
          <w:tcPr>
            <w:tcW w:w="263" w:type="pct"/>
            <w:gridSpan w:val="2"/>
            <w:shd w:val="clear" w:color="auto" w:fill="auto"/>
          </w:tcPr>
          <w:p w:rsidR="005F2519" w:rsidRPr="00445E3D" w:rsidRDefault="005F2519" w:rsidP="00297F5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091" w:type="pct"/>
            <w:shd w:val="clear" w:color="auto" w:fill="auto"/>
          </w:tcPr>
          <w:p w:rsidR="005F2519" w:rsidRPr="006E588C" w:rsidRDefault="005F2519" w:rsidP="00E5738C">
            <w:pPr>
              <w:ind w:firstLine="13"/>
            </w:pPr>
            <w:r w:rsidRPr="006E588C">
              <w:t>ИТОГО: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  <w:r w:rsidRPr="006E588C">
              <w:t>72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  <w:r>
              <w:t>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519" w:rsidRPr="00AD3657" w:rsidRDefault="005F2519" w:rsidP="00E5738C">
            <w:pPr>
              <w:jc w:val="center"/>
              <w:rPr>
                <w:lang w:val="en-US"/>
              </w:rPr>
            </w:pPr>
            <w:r>
              <w:t>1</w:t>
            </w:r>
            <w:r w:rsidR="00AD3657">
              <w:rPr>
                <w:lang w:val="en-US"/>
              </w:rPr>
              <w:t>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F2519" w:rsidRPr="00AD3657" w:rsidRDefault="00AD3657" w:rsidP="00E5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F2519" w:rsidRPr="008220FC" w:rsidRDefault="005F2519" w:rsidP="00E5738C">
            <w:pPr>
              <w:jc w:val="center"/>
              <w:rPr>
                <w:lang w:val="en-US"/>
              </w:rPr>
            </w:pPr>
            <w:r w:rsidRPr="006E588C">
              <w:t>4</w:t>
            </w:r>
            <w:r w:rsidR="008220FC">
              <w:rPr>
                <w:lang w:val="en-US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F2519" w:rsidRPr="006E588C" w:rsidRDefault="005F2519" w:rsidP="00E5738C">
            <w:pPr>
              <w:jc w:val="center"/>
            </w:pPr>
          </w:p>
        </w:tc>
      </w:tr>
    </w:tbl>
    <w:p w:rsidR="00297F5A" w:rsidRPr="00445E3D" w:rsidRDefault="00297F5A" w:rsidP="00297F5A">
      <w:pPr>
        <w:spacing w:line="276" w:lineRule="auto"/>
        <w:rPr>
          <w:szCs w:val="24"/>
        </w:rPr>
      </w:pPr>
      <w:r w:rsidRPr="00445E3D">
        <w:rPr>
          <w:szCs w:val="24"/>
        </w:rPr>
        <w:t>*Итоговая аттестация проводится в форме тестирования</w:t>
      </w:r>
      <w:r>
        <w:rPr>
          <w:szCs w:val="24"/>
        </w:rPr>
        <w:t xml:space="preserve"> и/или собеседования</w:t>
      </w:r>
      <w:r w:rsidRPr="00445E3D">
        <w:rPr>
          <w:szCs w:val="24"/>
        </w:rPr>
        <w:t>.</w:t>
      </w:r>
    </w:p>
    <w:p w:rsidR="00297F5A" w:rsidRDefault="00297F5A" w:rsidP="00297F5A">
      <w:pPr>
        <w:spacing w:line="276" w:lineRule="auto"/>
        <w:jc w:val="both"/>
        <w:rPr>
          <w:szCs w:val="24"/>
        </w:rPr>
      </w:pPr>
      <w:r w:rsidRPr="00445E3D">
        <w:rPr>
          <w:szCs w:val="24"/>
        </w:rPr>
        <w:t>**Изменения в учебном плане дисциплин, тем, количества часов и формы обучения утверждаются расписанием учебных занятий.</w:t>
      </w:r>
    </w:p>
    <w:p w:rsidR="00297F5A" w:rsidRDefault="00297F5A" w:rsidP="00297F5A">
      <w:pPr>
        <w:spacing w:line="276" w:lineRule="auto"/>
        <w:jc w:val="both"/>
        <w:rPr>
          <w:szCs w:val="24"/>
        </w:rPr>
      </w:pPr>
    </w:p>
    <w:p w:rsidR="003A3020" w:rsidRDefault="003A3020"/>
    <w:sectPr w:rsidR="003A3020" w:rsidSect="0029026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548"/>
    <w:multiLevelType w:val="hybridMultilevel"/>
    <w:tmpl w:val="5FC47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F5A"/>
    <w:rsid w:val="0019402C"/>
    <w:rsid w:val="00290269"/>
    <w:rsid w:val="00297F5A"/>
    <w:rsid w:val="003A3020"/>
    <w:rsid w:val="0042367C"/>
    <w:rsid w:val="00595F0D"/>
    <w:rsid w:val="005F2519"/>
    <w:rsid w:val="008220FC"/>
    <w:rsid w:val="0096434F"/>
    <w:rsid w:val="00AD3657"/>
    <w:rsid w:val="00D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E35D"/>
  <w15:docId w15:val="{CEBD22F5-1F9B-409B-B518-D2E6C11E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97F5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zhukova.ya</dc:creator>
  <cp:keywords/>
  <dc:description/>
  <cp:lastModifiedBy>Жукова Юлия Александровна</cp:lastModifiedBy>
  <cp:revision>7</cp:revision>
  <dcterms:created xsi:type="dcterms:W3CDTF">2021-11-08T12:33:00Z</dcterms:created>
  <dcterms:modified xsi:type="dcterms:W3CDTF">2022-08-12T10:19:00Z</dcterms:modified>
</cp:coreProperties>
</file>